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A4" w:rsidRPr="002925A4" w:rsidRDefault="002925A4" w:rsidP="002925A4">
      <w:pPr>
        <w:shd w:val="clear" w:color="auto" w:fill="FFFFFF"/>
        <w:spacing w:before="330"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B1B1B"/>
          <w:sz w:val="51"/>
          <w:szCs w:val="51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51"/>
          <w:szCs w:val="51"/>
          <w:lang w:eastAsia="ru-RU"/>
        </w:rPr>
        <w:t>Декрет Президента Республики Беларусь № 3 «О содействии занятости населения»</w:t>
      </w:r>
    </w:p>
    <w:p w:rsidR="002925A4" w:rsidRPr="002925A4" w:rsidRDefault="00BC1C24" w:rsidP="002925A4">
      <w:pPr>
        <w:shd w:val="clear" w:color="auto" w:fill="FFFFFF"/>
        <w:spacing w:before="240" w:after="240" w:line="300" w:lineRule="atLeast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C1C2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2925A4" w:rsidRPr="002925A4" w:rsidRDefault="002925A4" w:rsidP="002925A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ВНИМАНИЕ!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Уточнены критерии признания белорусов занятыми в экономике.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Постановлением Совета Министров Республики Беларусь от 25 января 2024 г. № 53 «Об изменении постановлений Совета Министров Республики Беларусь от 31 марта 2018 г. № 239 и от 31 марта 2018 г. № 240» (далее – Постановление № 53) внесены изменения в: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• Положение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утв. постановлением Совмина от 31.03.2018 № 239;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• Примерное положение о постоянно действующей комиссии по координации работы по содействию занятости населения, утв. постановлением Совмина от 31.03.2018 № 240.</w:t>
      </w:r>
    </w:p>
    <w:p w:rsidR="002925A4" w:rsidRPr="002925A4" w:rsidRDefault="00BC1C2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hyperlink r:id="rId5" w:anchor="a1" w:history="1">
        <w:r w:rsidR="002925A4"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="002925A4"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№ 53 вступает в силу поэтапно: </w:t>
      </w:r>
      <w:r w:rsidR="002925A4"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 26 января, с 1 и с 5 февраля, с 1 марта, с 1 апреля, с 1 мая и с 1 августа 2024 г.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Основные новшества касаются:</w:t>
      </w:r>
    </w:p>
    <w:p w:rsidR="002925A4" w:rsidRPr="002925A4" w:rsidRDefault="002925A4" w:rsidP="002925A4">
      <w:pPr>
        <w:numPr>
          <w:ilvl w:val="0"/>
          <w:numId w:val="1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критериев отнесения граждан к занятым в экономике;</w:t>
      </w:r>
    </w:p>
    <w:p w:rsidR="002925A4" w:rsidRPr="002925A4" w:rsidRDefault="002925A4" w:rsidP="002925A4">
      <w:pPr>
        <w:numPr>
          <w:ilvl w:val="0"/>
          <w:numId w:val="1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порядка предоставления сведений о миграции граждан;</w:t>
      </w:r>
    </w:p>
    <w:p w:rsidR="002925A4" w:rsidRPr="002925A4" w:rsidRDefault="002925A4" w:rsidP="002925A4">
      <w:pPr>
        <w:numPr>
          <w:ilvl w:val="0"/>
          <w:numId w:val="1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формирования и утверждения списков трудоспособных граждан, не занятых в экономике, оплачивающих ЖКУ по полной стоимости;</w:t>
      </w:r>
    </w:p>
    <w:p w:rsidR="002925A4" w:rsidRPr="002925A4" w:rsidRDefault="002925A4" w:rsidP="002925A4">
      <w:pPr>
        <w:numPr>
          <w:ilvl w:val="0"/>
          <w:numId w:val="1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хранения таких списков;</w:t>
      </w:r>
    </w:p>
    <w:p w:rsidR="002925A4" w:rsidRPr="002925A4" w:rsidRDefault="002925A4" w:rsidP="002925A4">
      <w:pPr>
        <w:numPr>
          <w:ilvl w:val="0"/>
          <w:numId w:val="1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обязанностей секретарей постоянно действующих комиссий по координации работы по содействию занятости населения (далее - комиссии).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Рассмотрим их подробнее в разделах: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1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r w:rsidRPr="002925A4">
        <w:rPr>
          <w:rFonts w:ascii="Arial" w:eastAsia="Times New Roman" w:hAnsi="Arial" w:cs="Arial"/>
          <w:color w:val="2F1CB3"/>
          <w:spacing w:val="1"/>
          <w:sz w:val="24"/>
          <w:szCs w:val="24"/>
          <w:u w:val="single"/>
          <w:bdr w:val="none" w:sz="0" w:space="0" w:color="auto" w:frame="1"/>
          <w:lang w:eastAsia="ru-RU"/>
        </w:rPr>
        <w:t>Обновлены критерии отнесения граждан к занятым в экономике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2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r w:rsidRPr="002925A4">
        <w:rPr>
          <w:rFonts w:ascii="Arial" w:eastAsia="Times New Roman" w:hAnsi="Arial" w:cs="Arial"/>
          <w:color w:val="2F1CB3"/>
          <w:spacing w:val="1"/>
          <w:sz w:val="24"/>
          <w:szCs w:val="24"/>
          <w:u w:val="single"/>
          <w:bdr w:val="none" w:sz="0" w:space="0" w:color="auto" w:frame="1"/>
          <w:lang w:eastAsia="ru-RU"/>
        </w:rPr>
        <w:t>Скорректирован порядок предоставления сведений о миграции граждан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3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r w:rsidRPr="002925A4">
        <w:rPr>
          <w:rFonts w:ascii="Arial" w:eastAsia="Times New Roman" w:hAnsi="Arial" w:cs="Arial"/>
          <w:color w:val="2F1CB3"/>
          <w:spacing w:val="1"/>
          <w:sz w:val="24"/>
          <w:szCs w:val="24"/>
          <w:u w:val="single"/>
          <w:bdr w:val="none" w:sz="0" w:space="0" w:color="auto" w:frame="1"/>
          <w:lang w:eastAsia="ru-RU"/>
        </w:rPr>
        <w:t>Изменен порядок формирования, утверждения списков трудоспособных граждан, не занятых в экономике, оплачивающих ЖКУ по полной стоимости, а также сроки их хранения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4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r w:rsidRPr="002925A4">
        <w:rPr>
          <w:rFonts w:ascii="Arial" w:eastAsia="Times New Roman" w:hAnsi="Arial" w:cs="Arial"/>
          <w:color w:val="2F1CB3"/>
          <w:spacing w:val="1"/>
          <w:sz w:val="24"/>
          <w:szCs w:val="24"/>
          <w:u w:val="single"/>
          <w:bdr w:val="none" w:sz="0" w:space="0" w:color="auto" w:frame="1"/>
          <w:lang w:eastAsia="ru-RU"/>
        </w:rPr>
        <w:t>Расширен функционал секретарей комиссий</w:t>
      </w:r>
    </w:p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Обновлены критерии отнесения граждан к занятым в экономике</w:t>
      </w:r>
    </w:p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lastRenderedPageBreak/>
        <w:t>Индивидуальные предприниматели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 ИП установлены дополнительные требования для отнесения их к занятым в экономике. Так, для них введено обязательное условие - уплата налогов. В связи с этим:</w:t>
      </w:r>
    </w:p>
    <w:p w:rsidR="002925A4" w:rsidRPr="002925A4" w:rsidRDefault="002925A4" w:rsidP="002925A4">
      <w:pPr>
        <w:numPr>
          <w:ilvl w:val="0"/>
          <w:numId w:val="2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уточнены доходы, с которых уплачиваются налоговые платежи - доходы, полученные от осуществления предпринимательской деятельности;</w:t>
      </w:r>
    </w:p>
    <w:p w:rsidR="002925A4" w:rsidRPr="002925A4" w:rsidRDefault="002925A4" w:rsidP="002925A4">
      <w:pPr>
        <w:numPr>
          <w:ilvl w:val="0"/>
          <w:numId w:val="2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определены налоги, подлежащие уплате, - подоходный налог с физических лиц, единый налога с индивидуальных предпринимателей и иных физических лиц.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Исключение - ИП, освобожденные от уплаты данных налогов в соответствии с законодательством (</w:t>
      </w:r>
      <w:hyperlink r:id="rId6" w:anchor="a23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абз.4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подп.1.1 п.1 постановления № 53; </w:t>
      </w:r>
      <w:hyperlink r:id="rId7" w:anchor="a84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абз.3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п.3 Положения № 239 в новой редакции).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Данная норма вступает в силу с 5 февраля 2024 г. и распространяет свое действие на отношения, возникшие с 1 октября 2023 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"/>
        <w:gridCol w:w="9302"/>
      </w:tblGrid>
      <w:tr w:rsidR="002925A4" w:rsidRPr="002925A4" w:rsidTr="002925A4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Справочно</w:t>
            </w:r>
          </w:p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До принятия </w:t>
            </w:r>
            <w:hyperlink r:id="rId8" w:anchor="a1" w:history="1">
              <w:r w:rsidRPr="002925A4">
                <w:rPr>
                  <w:rFonts w:ascii="Arial" w:eastAsia="Times New Roman" w:hAnsi="Arial" w:cs="Arial"/>
                  <w:color w:val="2F1CB3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постановления</w:t>
              </w:r>
            </w:hyperlink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№ 53 признание гражданина занятым в экономике осуществлялось лишь на основании самого факта его регистрации в качестве ИП.</w:t>
            </w:r>
          </w:p>
        </w:tc>
      </w:tr>
    </w:tbl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Граждане, воспитывающие детей, в том числе детей-инвалидов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 1 марта 2024 г. 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указанные категории признают занятыми лишь при условии их фактического проживания на территории Беларуси. Так, оплачивать жилищно-коммунальные услуги по субсидируемым тарифам они смогут лишь при условии отсутствия на территории страны не более 30 дней в квартале, за который формируется база данных трудоспособных граждан, не занятых в экономике (далее - база данных).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При этом данная норма не распространяется на граждан, воспитывающих детей, в случае их выезда за границу на лечение и (или) оздоровление (абз.</w:t>
      </w:r>
      <w:hyperlink r:id="rId9" w:anchor="a24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8-11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подп.1.1 п.1 постановления № 53; абз.</w:t>
      </w:r>
      <w:hyperlink r:id="rId10" w:anchor="a85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22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и 23 п.3 Положения № 239 в новой редакции).</w:t>
      </w:r>
    </w:p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Граждане, производящие продукцию на личных подсобных хозяйствах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Областным и Минскому городскому исполкомам делегировано право определять территории, при проживании на которых граждане, производящие сельхозпродукцию, будут признаваться незанятыми, с учетом региональных особенностей и экономической целесообразности.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Таким образом,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 1 марта 2024 г.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занятыми в экономике будут считаться граждане, зарегистрированные по месту жительства на территориях, определяемых решениями облисполкомов, Мингорисполкома, производящие продукцию растениеводства (за исключением продукции цветоводства, декоративных растений, их семян и рассады), животноводства на находящемся на территории Беларуси земельном участке, предоставленном им (членам их семьи) для:</w:t>
      </w:r>
    </w:p>
    <w:p w:rsidR="002925A4" w:rsidRPr="002925A4" w:rsidRDefault="002925A4" w:rsidP="002925A4">
      <w:pPr>
        <w:numPr>
          <w:ilvl w:val="0"/>
          <w:numId w:val="3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ведения личного подсобного хозяйства;</w:t>
      </w:r>
    </w:p>
    <w:p w:rsidR="002925A4" w:rsidRPr="002925A4" w:rsidRDefault="002925A4" w:rsidP="002925A4">
      <w:pPr>
        <w:numPr>
          <w:ilvl w:val="0"/>
          <w:numId w:val="3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огородничества;</w:t>
      </w:r>
    </w:p>
    <w:p w:rsidR="002925A4" w:rsidRPr="002925A4" w:rsidRDefault="002925A4" w:rsidP="002925A4">
      <w:pPr>
        <w:numPr>
          <w:ilvl w:val="0"/>
          <w:numId w:val="3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традиционных народных промыслов (ремесел);</w:t>
      </w:r>
    </w:p>
    <w:p w:rsidR="002925A4" w:rsidRPr="002925A4" w:rsidRDefault="002925A4" w:rsidP="002925A4">
      <w:pPr>
        <w:numPr>
          <w:ilvl w:val="0"/>
          <w:numId w:val="3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сенокошения;</w:t>
      </w:r>
    </w:p>
    <w:p w:rsidR="002925A4" w:rsidRPr="002925A4" w:rsidRDefault="002925A4" w:rsidP="002925A4">
      <w:pPr>
        <w:numPr>
          <w:ilvl w:val="0"/>
          <w:numId w:val="3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выпаса сельскохозяйственных животных;</w:t>
      </w:r>
    </w:p>
    <w:p w:rsidR="002925A4" w:rsidRPr="002925A4" w:rsidRDefault="002925A4" w:rsidP="002925A4">
      <w:pPr>
        <w:numPr>
          <w:ilvl w:val="0"/>
          <w:numId w:val="3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ведения крестьянского (фермерского) хозяйства;</w:t>
      </w:r>
    </w:p>
    <w:p w:rsidR="002925A4" w:rsidRPr="002925A4" w:rsidRDefault="002925A4" w:rsidP="002925A4">
      <w:pPr>
        <w:numPr>
          <w:ilvl w:val="0"/>
          <w:numId w:val="3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строительства и обслуживания жилого дома, в том числе строительства и (или) обслуживания одноквартирного, блокированного жилого дома, обслуживания зарегистрированной организацией по госрегистрации недвижимого имущества, прав на него и сделок с ним квартиры в блокированном жилом доме.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При этом еще одним обязательным критерием отнесения их к занятым в экономике является период их нахождения на территории Беларуси. Если в квартале, за который сформирована база данных, они будут отсутствовать в стране суммарно 30 и более календарных дней, то будут отнесены к незанятым в экономике (абз.</w:t>
      </w:r>
      <w:hyperlink r:id="rId11" w:anchor="a10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5-7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подп.1.1 п.1 постановления № 53; </w:t>
      </w:r>
      <w:hyperlink r:id="rId12" w:anchor="a86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абз.18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п.3 Положения № 239 в новой редакции).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"/>
        <w:gridCol w:w="9302"/>
      </w:tblGrid>
      <w:tr w:rsidR="002925A4" w:rsidRPr="002925A4" w:rsidTr="002925A4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Справочно</w:t>
            </w:r>
          </w:p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До 1 марта 2024 г. основанием для рассмотрения постоянно действующими комиссиями вопроса о возможности признания граждан занятыми производством сельхозпродукции является предоставление гражданином в комиссию по месту жительства выданной местными исполкомами справки о производстве сельхозпродукции на земельном участке, находящемся на соответствующей территории.</w:t>
            </w:r>
          </w:p>
        </w:tc>
      </w:tr>
    </w:tbl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Граждане, получающие доходы от сдачи внаем недвижимого имущества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Исходя из норм </w:t>
      </w:r>
      <w:hyperlink r:id="rId13" w:anchor="a3194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ст.642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ГК и положений </w:t>
      </w:r>
      <w:hyperlink r:id="rId14" w:anchor="a1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ЖК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термин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«наем»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применяется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только к жилым помещениям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и при условии, что нанимателем является исключительно гражданин, в то время как к иным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объектам недвижимого имущества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в том числе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нежилым помещениям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машино-местам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применяется термин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«аренда»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Для исключения коллизии </w:t>
      </w:r>
      <w:hyperlink r:id="rId15" w:anchor="a87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абз.20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п.4 Положения № 239 изложен в новой редакции, которой предусмотрено получение гражданами доходов и от сдачи в наем, и от сдачи в аренду недвижимого имущества. Одновременно закреплено условие об уплате подоходного налога с физических лиц в фиксированных суммах с такого дохода (</w:t>
      </w:r>
      <w:hyperlink r:id="rId16" w:anchor="a25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абз.12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подп.1.1 п.1 постановления № 53; </w:t>
      </w:r>
      <w:hyperlink r:id="rId17" w:anchor="a87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абз.20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п.4 Положения № 239 в новой редакции).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Изменения вступают в силу с 1 февраля 2024 г.</w:t>
      </w:r>
    </w:p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Граждане, работающие на территории государств - участников ЕАЭС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Для единообразного толкования понятия «работающий» на территории стран ЕАЭС закреплено определение данной категории. К ней отнесены только физлица, работающие (служащие) по трудовому договору (контракту) (</w:t>
      </w:r>
      <w:hyperlink r:id="rId18" w:anchor="a26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абз.37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подп.1.1 п.1 постановления № 53; </w:t>
      </w:r>
      <w:hyperlink r:id="rId19" w:anchor="a88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абз.2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ч.1 п.21 Положения № 239 в новой редакции).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Данная норма, как и предыдущая, действует с 1 февраля 2024 г.</w:t>
      </w:r>
    </w:p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Скорректирован порядок предоставления сведений о миграции граждан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С 1 февраля 2024 г. при формировании базы данных будет учитываться информация, предоставленная Министерством внутренних дел России, о белорусах, выехавших с территории России и въехавших на ее территорию через 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пункты пропуска российской госграницы, а также о гражданах Беларуси, состоящих на миграционном учете в России (абз.</w:t>
      </w:r>
      <w:hyperlink r:id="rId20" w:anchor="a27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27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28 и </w:t>
      </w:r>
      <w:hyperlink r:id="rId21" w:anchor="a28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46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подп.1.1 п.1 постановления № 53; пп.</w:t>
      </w:r>
      <w:hyperlink r:id="rId22" w:anchor="a69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20</w:t>
        </w:r>
        <w:r w:rsidRPr="002925A4">
          <w:rPr>
            <w:rFonts w:ascii="Arial" w:eastAsia="Times New Roman" w:hAnsi="Arial" w:cs="Arial"/>
            <w:color w:val="2F1CB3"/>
            <w:spacing w:val="1"/>
            <w:sz w:val="18"/>
            <w:szCs w:val="1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 </w:t>
      </w:r>
      <w:hyperlink r:id="rId23" w:anchor="a89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27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и 28 Положения № 239 в новой редакции).</w:t>
      </w:r>
    </w:p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Изменен порядок формирования, утверждения списков трудоспособных граждан, не занятых в экономике, оплачивающих ЖКУ по полной стоимости, а также сроки их хранения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 1 апреля 2024 г.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списки трудоспособных граждан, не занятых в экономике, оплачивающих услуги с возмещением затрат,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формируются и утверждаются ежемесячно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до конца текущего месяца (абз.</w:t>
      </w:r>
      <w:hyperlink r:id="rId24" w:anchor="a16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28-32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подп.1.2 п.1 постановления № 53; </w:t>
      </w:r>
      <w:hyperlink r:id="rId25" w:anchor="a27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п.19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и </w:t>
      </w:r>
      <w:hyperlink r:id="rId26" w:anchor="a28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ч.1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п.20 Примерного положения № 240 в новой редакции).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"/>
        <w:gridCol w:w="9302"/>
      </w:tblGrid>
      <w:tr w:rsidR="002925A4" w:rsidRPr="002925A4" w:rsidTr="002925A4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Справочно</w:t>
            </w:r>
          </w:p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До 1 апреля 2024 г. формирование такого списка осуществляется со дня открытия базы данных до 5-го числа второго месяца каждого квартала. То есть один раз в 3 месяца.</w:t>
            </w:r>
          </w:p>
        </w:tc>
      </w:tr>
    </w:tbl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Изменения также коснулись и пересматриваемых списков. С указанной даты они также формируются и утверждаются ежемесячно до конца текущего месяца (</w:t>
      </w:r>
      <w:hyperlink r:id="rId27" w:anchor="a29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абз.42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подп.1.2 п.1 постановления № 53; </w:t>
      </w:r>
      <w:hyperlink r:id="rId28" w:anchor="a29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ч.3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п.20</w:t>
      </w:r>
      <w:r w:rsidRPr="002925A4">
        <w:rPr>
          <w:rFonts w:ascii="Arial" w:eastAsia="Times New Roman" w:hAnsi="Arial" w:cs="Arial"/>
          <w:color w:val="1B1B1B"/>
          <w:spacing w:val="1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Примерного положения № 240 в новой редакции).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"/>
        <w:gridCol w:w="9302"/>
      </w:tblGrid>
      <w:tr w:rsidR="002925A4" w:rsidRPr="002925A4" w:rsidTr="002925A4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Справочно</w:t>
            </w:r>
          </w:p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При выявлении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 (</w:t>
            </w:r>
            <w:hyperlink r:id="rId29" w:anchor="a30" w:history="1">
              <w:r w:rsidRPr="002925A4">
                <w:rPr>
                  <w:rFonts w:ascii="Arial" w:eastAsia="Times New Roman" w:hAnsi="Arial" w:cs="Arial"/>
                  <w:color w:val="2F1CB3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ч.1</w:t>
              </w:r>
            </w:hyperlink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п.20</w:t>
            </w:r>
            <w:r w:rsidRPr="002925A4">
              <w:rPr>
                <w:rFonts w:ascii="Times New Roman" w:eastAsia="Times New Roman" w:hAnsi="Times New Roman" w:cs="Times New Roman"/>
                <w:color w:val="1B1B1B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Примерного положения № 240).</w:t>
            </w:r>
          </w:p>
        </w:tc>
      </w:tr>
    </w:tbl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Начиная с 1 мая 2024 г.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граждане смогут получить информацию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о включении в список трудоспособных граждан, не занятых в экономике, оплачивающих услуги с возмещением затрат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посредством электронной услуги ОАИС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 Она будет доступна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 1-го числа месяца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следующего за месяцем утверждения такого списка (</w:t>
      </w:r>
      <w:hyperlink r:id="rId30" w:anchor="a19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абз.33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подп.1.2 п.1 постановления № 53; </w:t>
      </w:r>
      <w:hyperlink r:id="rId31" w:anchor="a31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ч.2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п.20 Примерного положения № 240 в новой редакции).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Также </w:t>
      </w:r>
      <w:hyperlink r:id="rId32" w:anchor="a1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№ 53 установлен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срок хранения указанных списков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в базе данных, который соответствует сроку хранения решений комиссий и составляет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3 года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(абз.</w:t>
      </w:r>
      <w:hyperlink r:id="rId33" w:anchor="a18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44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и 45 подп.1.2 п.1 постановления № 53; </w:t>
      </w:r>
      <w:hyperlink r:id="rId34" w:anchor="a32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п.20</w:t>
        </w:r>
        <w:r w:rsidRPr="002925A4">
          <w:rPr>
            <w:rFonts w:ascii="Arial" w:eastAsia="Times New Roman" w:hAnsi="Arial" w:cs="Arial"/>
            <w:color w:val="2F1CB3"/>
            <w:spacing w:val="1"/>
            <w:sz w:val="18"/>
            <w:szCs w:val="1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Примерного положения № 240 в новой редакции).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Данная норма действует с 1 апреля 2024 г.</w:t>
      </w:r>
    </w:p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Расширен функционал секретарей комиссий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 1 августа 2024 г. 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 обязанности секретаря комиссии, кроме предусмотренных </w:t>
      </w:r>
      <w:hyperlink r:id="rId35" w:anchor="a33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п.8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Примерного положения № 240, включены:</w:t>
      </w:r>
    </w:p>
    <w:p w:rsidR="002925A4" w:rsidRPr="002925A4" w:rsidRDefault="002925A4" w:rsidP="002925A4">
      <w:pPr>
        <w:numPr>
          <w:ilvl w:val="0"/>
          <w:numId w:val="4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работа с базой данных;</w:t>
      </w:r>
    </w:p>
    <w:p w:rsidR="002925A4" w:rsidRPr="002925A4" w:rsidRDefault="002925A4" w:rsidP="002925A4">
      <w:pPr>
        <w:numPr>
          <w:ilvl w:val="0"/>
          <w:numId w:val="4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консультирование членов комиссии по работе с базой данных;</w:t>
      </w:r>
    </w:p>
    <w:p w:rsidR="002925A4" w:rsidRPr="002925A4" w:rsidRDefault="002925A4" w:rsidP="002925A4">
      <w:pPr>
        <w:numPr>
          <w:ilvl w:val="0"/>
          <w:numId w:val="4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работа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 Беларусь, оплачивающих услуги с возмещением затрат;</w:t>
      </w:r>
    </w:p>
    <w:p w:rsidR="002925A4" w:rsidRPr="002925A4" w:rsidRDefault="002925A4" w:rsidP="002925A4">
      <w:pPr>
        <w:numPr>
          <w:ilvl w:val="0"/>
          <w:numId w:val="4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подготовка проектов решений районного (городского) исполнительного комитета (местной администрации) об утверждении указанных списков;</w:t>
      </w:r>
    </w:p>
    <w:p w:rsidR="002925A4" w:rsidRPr="002925A4" w:rsidRDefault="002925A4" w:rsidP="002925A4">
      <w:pPr>
        <w:numPr>
          <w:ilvl w:val="0"/>
          <w:numId w:val="4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вынесение на рассмотрение комиссии заявлений граждан о полном или частичном освобождении от оплаты услуг с возмещением затрат в связи с нахождением в трудной жизненной ситуации и о признании таких граждан занятыми в экономике или не относящимися к не занятым в экономике;</w:t>
      </w:r>
    </w:p>
    <w:p w:rsidR="002925A4" w:rsidRPr="002925A4" w:rsidRDefault="002925A4" w:rsidP="002925A4">
      <w:pPr>
        <w:numPr>
          <w:ilvl w:val="0"/>
          <w:numId w:val="4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подготовка запросов о предоставлении информации по вопросам, относящимся к деятельности комиссии;</w:t>
      </w:r>
    </w:p>
    <w:p w:rsidR="002925A4" w:rsidRPr="002925A4" w:rsidRDefault="002925A4" w:rsidP="002925A4">
      <w:pPr>
        <w:numPr>
          <w:ilvl w:val="0"/>
          <w:numId w:val="4"/>
        </w:numPr>
        <w:shd w:val="clear" w:color="auto" w:fill="FFFFFF"/>
        <w:spacing w:before="150" w:after="15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подготовка отчетности по вопросам деятельности комиссии;</w:t>
      </w:r>
    </w:p>
    <w:p w:rsidR="002925A4" w:rsidRPr="002925A4" w:rsidRDefault="002925A4" w:rsidP="002925A4">
      <w:pPr>
        <w:numPr>
          <w:ilvl w:val="0"/>
          <w:numId w:val="4"/>
        </w:num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консультирование граждан по вопросам реализации </w:t>
      </w:r>
      <w:hyperlink r:id="rId36" w:anchor="a12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Декрета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от 02.04.2015 № 3.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Определено, что в период отсутствия секретаря комиссии его обязанности выполняет член комиссии, определенный председателем комиссии (абз.</w:t>
      </w:r>
      <w:hyperlink r:id="rId37" w:anchor="a30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12-27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подп.1.2 п.1 постановления № 53).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Также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 1 августа 2024 г.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секретарь комиссии включен в состав комиссии. С указанной даты его должность вводится в пределах установленной численности работников соответствующего районного (городского) исполнительного комитета (местной администрации) (абз.</w:t>
      </w:r>
      <w:hyperlink r:id="rId38" w:anchor="a21" w:history="1">
        <w:r w:rsidRPr="002925A4">
          <w:rPr>
            <w:rFonts w:ascii="Arial" w:eastAsia="Times New Roman" w:hAnsi="Arial" w:cs="Arial"/>
            <w:color w:val="2F1CB3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8-11</w:t>
        </w:r>
      </w:hyperlink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подп.1.2 п.1 постановления № 53).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"/>
        <w:gridCol w:w="9302"/>
      </w:tblGrid>
      <w:tr w:rsidR="002925A4" w:rsidRPr="002925A4" w:rsidTr="002925A4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Справочно</w:t>
            </w:r>
          </w:p>
          <w:p w:rsidR="002925A4" w:rsidRPr="002925A4" w:rsidRDefault="002925A4" w:rsidP="002925A4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</w:pPr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По действующей до 1 августа 2024 г. норме секретарь комиссии мог включаться в ее состав, если его должность была предусмотрена в пределах установленной численности работников районного (городского) исполнительного комитета (местной администрации). Секретарь, не входящий в состав комиссии, является работником организации, подчиненной соответствующему местному исполнительному и распорядительному органу (</w:t>
            </w:r>
            <w:hyperlink r:id="rId39" w:anchor="a15" w:history="1">
              <w:r w:rsidRPr="002925A4">
                <w:rPr>
                  <w:rFonts w:ascii="Arial" w:eastAsia="Times New Roman" w:hAnsi="Arial" w:cs="Arial"/>
                  <w:color w:val="2F1CB3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п.6</w:t>
              </w:r>
            </w:hyperlink>
            <w:r w:rsidRPr="002925A4">
              <w:rPr>
                <w:rFonts w:ascii="Times New Roman" w:eastAsia="Times New Roman" w:hAnsi="Times New Roman" w:cs="Times New Roman"/>
                <w:color w:val="1B1B1B"/>
                <w:sz w:val="21"/>
                <w:szCs w:val="21"/>
                <w:lang w:eastAsia="ru-RU"/>
              </w:rPr>
              <w:t> Примерного положения № 240).</w:t>
            </w:r>
          </w:p>
        </w:tc>
      </w:tr>
    </w:tbl>
    <w:p w:rsidR="002925A4" w:rsidRPr="002925A4" w:rsidRDefault="00BC1C24" w:rsidP="00C16EF1">
      <w:pPr>
        <w:shd w:val="clear" w:color="auto" w:fill="FFFFFF"/>
        <w:spacing w:before="240" w:after="240" w:line="300" w:lineRule="atLeast"/>
        <w:textAlignment w:val="baseline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BC1C2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  <w:r w:rsidR="00C16EF1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 све</w:t>
      </w:r>
      <w:r w:rsidR="002925A4"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дению граждан</w:t>
      </w:r>
      <w:r w:rsidR="00C16EF1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:</w:t>
      </w:r>
      <w:bookmarkStart w:id="0" w:name="_GoBack"/>
      <w:bookmarkEnd w:id="0"/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 связи со вступлением в силу Постановления Совета Министров Республики Беларусь от 28 сентября 2022 г. № 651 «Об изменении постановления Совета Министров Республики Беларусь от 31 марта 2018 г. № 239» (далее – постановление № 651).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Постановление № 651 вступает в силу поэтапно: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• с 1 октября 2022 г. вступил в силу измененный порядок формирования базы данных трудоспособных граждан, не занятых в экономике (далее - база данных);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• с 1 декабря 2022 г. - измененный перечень категорий граждан, считающихся занятыми в экономике (п.2 постановления № 651).</w:t>
      </w:r>
    </w:p>
    <w:p w:rsidR="002925A4" w:rsidRPr="002925A4" w:rsidRDefault="00BC1C24" w:rsidP="002925A4">
      <w:pPr>
        <w:shd w:val="clear" w:color="auto" w:fill="FFFFFF"/>
        <w:spacing w:before="240" w:after="24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C1C2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2925A4" w:rsidRPr="002925A4" w:rsidRDefault="002925A4" w:rsidP="002925A4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</w:pPr>
      <w:r w:rsidRPr="002925A4">
        <w:rPr>
          <w:rFonts w:ascii="Times New Roman" w:eastAsia="Times New Roman" w:hAnsi="Times New Roman" w:cs="Times New Roman"/>
          <w:color w:val="1B1B1B"/>
          <w:sz w:val="30"/>
          <w:szCs w:val="30"/>
          <w:lang w:eastAsia="ru-RU"/>
        </w:rPr>
        <w:t>Кто будет считаться занятым в экономике с 1 декабря 2022 г., а кто - нет?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1. С 1 декабря 2022 г. лица,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выполняющие работы по гражданско-правовым договорам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, предметом которых является выполнение работ, оказание услуг или 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создание объектов интеллектуальной собственности,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будут относиться к занятым в экономике только при условии выплаты им вознаграждений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за выполненные работы (оказанные услуги, созданные объекты интеллектуальной собственности) (абз.3 п.1 постановления № 651). Это сделано для исключения возможности заключения гражданами фиктивных гражданско-правовых договоров для не отнесения их к не занятым в экономике, оплачивающим ЖКУ по полным (не датируемым государством) тарифам.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2. С указанной даты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к занятым в экономике отнесены члены совета директоров или наблюдательного совета фирм и организаций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при условии выплаты им вознаграждений за работу, осуществляемую в рамках такого членства (абз.5 п.1 постановления № 651).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3. 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В отдельную категорию выделены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матери (мачехи) или отцы (отчимы), усыновители (удочерители), опекуны (попечители),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воспитывающие ребенка-инвалида в возрасте до 18 лет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 Вместе с тем их отнесение к занятым в экономике возможно только при условии нахождения такого ребенка у них на иждивении и воспитании (абз.6 п.1 постановления № 651).</w:t>
      </w:r>
    </w:p>
    <w:p w:rsidR="002925A4" w:rsidRPr="002925A4" w:rsidRDefault="002925A4" w:rsidP="002925A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4. Из абз.20 п.3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утверждённого постановлением Совета Министров Республики Беларусь от 31 марта 2018 г. № 239 (далее – постановление № 239)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исключены отцы (отчимы), воспитывающие ребенка в возрасте до 7 лет, троих и более несовершеннолетних детей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 Таким образом, </w:t>
      </w:r>
      <w:r w:rsidRPr="002925A4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с 1 декабря 2022 г. к занятым в экономике не будут относиться лица мужского пола по признаку «воспитывающие ребенка в возрасте до 7 лет, троих и более несовершеннолетних детей»</w:t>
      </w: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</w:t>
      </w:r>
    </w:p>
    <w:p w:rsidR="002925A4" w:rsidRPr="002925A4" w:rsidRDefault="002925A4" w:rsidP="002925A4">
      <w:pPr>
        <w:shd w:val="clear" w:color="auto" w:fill="FFFFFF"/>
        <w:spacing w:before="180" w:after="180" w:line="300" w:lineRule="atLeast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25A4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Новая редакция постановления № 239 предусматривает отнесение к занятым в экономике только женщин, воспитывающих ребенка в возрасте до 7 лет, троих и более несовершеннолетних детей, являющихся матерью (мачехой), усыновителем (удочерителем), опекуном (попечителем) (абз.8 п.1 постановления № 651).</w:t>
      </w:r>
    </w:p>
    <w:p w:rsidR="00BA3875" w:rsidRDefault="00BA3875"/>
    <w:sectPr w:rsidR="00BA3875" w:rsidSect="00BC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1B4C"/>
    <w:multiLevelType w:val="multilevel"/>
    <w:tmpl w:val="E054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A4D12"/>
    <w:multiLevelType w:val="multilevel"/>
    <w:tmpl w:val="F4A8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A2072"/>
    <w:multiLevelType w:val="multilevel"/>
    <w:tmpl w:val="BB0C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A17F9"/>
    <w:multiLevelType w:val="multilevel"/>
    <w:tmpl w:val="D578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925A4"/>
    <w:rsid w:val="002925A4"/>
    <w:rsid w:val="008970B2"/>
    <w:rsid w:val="00BA3875"/>
    <w:rsid w:val="00BC1C24"/>
    <w:rsid w:val="00C1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ha.vitebsk-region.gov.by/dekret-3-o-sodejstvii-zanyatosti-naseleniya" TargetMode="External"/><Relationship Id="rId13" Type="http://schemas.openxmlformats.org/officeDocument/2006/relationships/hyperlink" Target="https://orsha.vitebsk-region.gov.by/dekret-3-o-sodejstvii-zanyatosti-naseleniya" TargetMode="External"/><Relationship Id="rId18" Type="http://schemas.openxmlformats.org/officeDocument/2006/relationships/hyperlink" Target="https://orsha.vitebsk-region.gov.by/dekret-3-o-sodejstvii-zanyatosti-naseleniya" TargetMode="External"/><Relationship Id="rId26" Type="http://schemas.openxmlformats.org/officeDocument/2006/relationships/hyperlink" Target="https://orsha.vitebsk-region.gov.by/dekret-3-o-sodejstvii-zanyatosti-naseleniya" TargetMode="External"/><Relationship Id="rId39" Type="http://schemas.openxmlformats.org/officeDocument/2006/relationships/hyperlink" Target="https://orsha.vitebsk-region.gov.by/dekret-3-o-sodejstvii-zanyatosti-nasel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sha.vitebsk-region.gov.by/dekret-3-o-sodejstvii-zanyatosti-naseleniya" TargetMode="External"/><Relationship Id="rId34" Type="http://schemas.openxmlformats.org/officeDocument/2006/relationships/hyperlink" Target="https://orsha.vitebsk-region.gov.by/dekret-3-o-sodejstvii-zanyatosti-naseleniya" TargetMode="External"/><Relationship Id="rId7" Type="http://schemas.openxmlformats.org/officeDocument/2006/relationships/hyperlink" Target="https://orsha.vitebsk-region.gov.by/dekret-3-o-sodejstvii-zanyatosti-naseleniya" TargetMode="External"/><Relationship Id="rId12" Type="http://schemas.openxmlformats.org/officeDocument/2006/relationships/hyperlink" Target="https://orsha.vitebsk-region.gov.by/dekret-3-o-sodejstvii-zanyatosti-naseleniya" TargetMode="External"/><Relationship Id="rId17" Type="http://schemas.openxmlformats.org/officeDocument/2006/relationships/hyperlink" Target="https://orsha.vitebsk-region.gov.by/dekret-3-o-sodejstvii-zanyatosti-naseleniya" TargetMode="External"/><Relationship Id="rId25" Type="http://schemas.openxmlformats.org/officeDocument/2006/relationships/hyperlink" Target="https://orsha.vitebsk-region.gov.by/dekret-3-o-sodejstvii-zanyatosti-naseleniya" TargetMode="External"/><Relationship Id="rId33" Type="http://schemas.openxmlformats.org/officeDocument/2006/relationships/hyperlink" Target="https://orsha.vitebsk-region.gov.by/dekret-3-o-sodejstvii-zanyatosti-naseleniya" TargetMode="External"/><Relationship Id="rId38" Type="http://schemas.openxmlformats.org/officeDocument/2006/relationships/hyperlink" Target="https://orsha.vitebsk-region.gov.by/dekret-3-o-sodejstvii-zanyatosti-nasele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sha.vitebsk-region.gov.by/dekret-3-o-sodejstvii-zanyatosti-naseleniya" TargetMode="External"/><Relationship Id="rId20" Type="http://schemas.openxmlformats.org/officeDocument/2006/relationships/hyperlink" Target="https://orsha.vitebsk-region.gov.by/dekret-3-o-sodejstvii-zanyatosti-naseleniya" TargetMode="External"/><Relationship Id="rId29" Type="http://schemas.openxmlformats.org/officeDocument/2006/relationships/hyperlink" Target="https://orsha.vitebsk-region.gov.by/dekret-3-o-sodejstvii-zanyatosti-naseleniy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sha.vitebsk-region.gov.by/dekret-3-o-sodejstvii-zanyatosti-naseleniya" TargetMode="External"/><Relationship Id="rId11" Type="http://schemas.openxmlformats.org/officeDocument/2006/relationships/hyperlink" Target="https://orsha.vitebsk-region.gov.by/dekret-3-o-sodejstvii-zanyatosti-naseleniya" TargetMode="External"/><Relationship Id="rId24" Type="http://schemas.openxmlformats.org/officeDocument/2006/relationships/hyperlink" Target="https://orsha.vitebsk-region.gov.by/dekret-3-o-sodejstvii-zanyatosti-naseleniya" TargetMode="External"/><Relationship Id="rId32" Type="http://schemas.openxmlformats.org/officeDocument/2006/relationships/hyperlink" Target="https://orsha.vitebsk-region.gov.by/dekret-3-o-sodejstvii-zanyatosti-naseleniya" TargetMode="External"/><Relationship Id="rId37" Type="http://schemas.openxmlformats.org/officeDocument/2006/relationships/hyperlink" Target="https://orsha.vitebsk-region.gov.by/dekret-3-o-sodejstvii-zanyatosti-naseleniy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orsha.vitebsk-region.gov.by/dekret-3-o-sodejstvii-zanyatosti-naseleniya" TargetMode="External"/><Relationship Id="rId15" Type="http://schemas.openxmlformats.org/officeDocument/2006/relationships/hyperlink" Target="https://orsha.vitebsk-region.gov.by/dekret-3-o-sodejstvii-zanyatosti-naseleniya" TargetMode="External"/><Relationship Id="rId23" Type="http://schemas.openxmlformats.org/officeDocument/2006/relationships/hyperlink" Target="https://orsha.vitebsk-region.gov.by/dekret-3-o-sodejstvii-zanyatosti-naseleniya" TargetMode="External"/><Relationship Id="rId28" Type="http://schemas.openxmlformats.org/officeDocument/2006/relationships/hyperlink" Target="https://orsha.vitebsk-region.gov.by/dekret-3-o-sodejstvii-zanyatosti-naseleniya" TargetMode="External"/><Relationship Id="rId36" Type="http://schemas.openxmlformats.org/officeDocument/2006/relationships/hyperlink" Target="https://orsha.vitebsk-region.gov.by/dekret-3-o-sodejstvii-zanyatosti-naseleniya" TargetMode="External"/><Relationship Id="rId10" Type="http://schemas.openxmlformats.org/officeDocument/2006/relationships/hyperlink" Target="https://orsha.vitebsk-region.gov.by/dekret-3-o-sodejstvii-zanyatosti-naseleniya" TargetMode="External"/><Relationship Id="rId19" Type="http://schemas.openxmlformats.org/officeDocument/2006/relationships/hyperlink" Target="https://orsha.vitebsk-region.gov.by/dekret-3-o-sodejstvii-zanyatosti-naseleniya" TargetMode="External"/><Relationship Id="rId31" Type="http://schemas.openxmlformats.org/officeDocument/2006/relationships/hyperlink" Target="https://orsha.vitebsk-region.gov.by/dekret-3-o-sodejstvii-zanyatosti-nasel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sha.vitebsk-region.gov.by/dekret-3-o-sodejstvii-zanyatosti-naseleniya" TargetMode="External"/><Relationship Id="rId14" Type="http://schemas.openxmlformats.org/officeDocument/2006/relationships/hyperlink" Target="https://orsha.vitebsk-region.gov.by/dekret-3-o-sodejstvii-zanyatosti-naseleniya" TargetMode="External"/><Relationship Id="rId22" Type="http://schemas.openxmlformats.org/officeDocument/2006/relationships/hyperlink" Target="https://orsha.vitebsk-region.gov.by/dekret-3-o-sodejstvii-zanyatosti-naseleniya" TargetMode="External"/><Relationship Id="rId27" Type="http://schemas.openxmlformats.org/officeDocument/2006/relationships/hyperlink" Target="https://orsha.vitebsk-region.gov.by/dekret-3-o-sodejstvii-zanyatosti-naseleniya" TargetMode="External"/><Relationship Id="rId30" Type="http://schemas.openxmlformats.org/officeDocument/2006/relationships/hyperlink" Target="https://orsha.vitebsk-region.gov.by/dekret-3-o-sodejstvii-zanyatosti-naseleniya" TargetMode="External"/><Relationship Id="rId35" Type="http://schemas.openxmlformats.org/officeDocument/2006/relationships/hyperlink" Target="https://orsha.vitebsk-region.gov.by/dekret-3-o-sodejstvii-zanyatosti-nas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dcterms:created xsi:type="dcterms:W3CDTF">2024-05-27T12:50:00Z</dcterms:created>
  <dcterms:modified xsi:type="dcterms:W3CDTF">2024-05-27T12:50:00Z</dcterms:modified>
</cp:coreProperties>
</file>